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2FE" w:rsidRDefault="00E362FE" w:rsidP="00E362FE">
      <w:pPr>
        <w:pStyle w:val="a4"/>
        <w:spacing w:before="28" w:beforeAutospacing="0" w:after="238" w:line="301" w:lineRule="atLeast"/>
        <w:jc w:val="center"/>
      </w:pPr>
      <w:r>
        <w:rPr>
          <w:rFonts w:ascii="Arial" w:hAnsi="Arial" w:cs="Arial"/>
          <w:b/>
          <w:bCs/>
          <w:sz w:val="18"/>
          <w:szCs w:val="18"/>
        </w:rPr>
        <w:t>ИНФОРМАЦИЯ ДЛЯ РОДИТЕЛЕЙ</w:t>
      </w:r>
    </w:p>
    <w:p w:rsidR="00E362FE" w:rsidRDefault="00E362FE" w:rsidP="00E362FE">
      <w:pPr>
        <w:pStyle w:val="a4"/>
        <w:spacing w:before="28" w:beforeAutospacing="0" w:after="238" w:line="301" w:lineRule="atLeast"/>
        <w:jc w:val="center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С какими документами образовательное учреждение обязано ознакомить родителя (законного представителя) будущего воспитанника?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Согласно </w:t>
      </w:r>
      <w:hyperlink r:id="rId5" w:history="1">
        <w:r>
          <w:rPr>
            <w:rStyle w:val="a3"/>
            <w:color w:val="006AC3"/>
          </w:rPr>
          <w:t>п. 2 ст. 16</w:t>
        </w:r>
      </w:hyperlink>
      <w:r>
        <w:t xml:space="preserve"> Закона РФ "Об образовании" при приеме ребенка в образовательное учреждение последнее обязано ознакомить его родителей (законных представителей) с Уставом образовательного учреждения и другими документами, регламентирующими организацию образовательного процесса. Способ ознакомления с Уставом законодательством не предусмотрен и устанавливается образовательным учреждением самостоятельно. Кроме того, согласно вышеуказанной </w:t>
      </w:r>
      <w:hyperlink r:id="rId6" w:history="1">
        <w:r>
          <w:rPr>
            <w:rStyle w:val="a3"/>
            <w:color w:val="006AC3"/>
          </w:rPr>
          <w:t>статье</w:t>
        </w:r>
      </w:hyperlink>
      <w:r>
        <w:t xml:space="preserve"> образовательное учреждение обязано ознакомить родителей с лицензией на ведение образовательной деятельности, а также со свидетельством о государственной аккредитации по каждому направлению подготовки, дающим право на выдачу документа государственного образца.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Из каких источников складывается система финансирования образовательного учреждения в современных условиях?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В соответствии со </w:t>
      </w:r>
      <w:hyperlink r:id="rId7" w:history="1">
        <w:r>
          <w:rPr>
            <w:rStyle w:val="a3"/>
            <w:color w:val="006AC3"/>
          </w:rPr>
          <w:t>ст. 41</w:t>
        </w:r>
      </w:hyperlink>
      <w:r>
        <w:t xml:space="preserve"> Закона РФ "Об образовании" основным источником финансирования государственных и муниципальных образовательных учреждений является бюджетное финансирование на основе нормативов, утвержденных исполнительными органами власти. Кроме того, образовательное учреждение независимо от его организационно-правовой формы вправе привлекать дополнительные финансовые средства за счет предоставления платных образовательных и иных предусмотренных Уставом образовательного учреждения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 Таким образом, в настоящее время образовательные учреждения имеют смешанную систему финансирования.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Почему образовательное учреждение, являясь юридическим лицом, не имеет своей бухгалтерии?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КонсультантПлюс: примечание.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В официальном тексте документа, видимо, допущена опечатка: Федеральный закон от 21 ноября </w:t>
      </w:r>
      <w:smartTag w:uri="urn:schemas-microsoft-com:office:smarttags" w:element="metricconverter">
        <w:smartTagPr>
          <w:attr w:name="ProductID" w:val="1996 г"/>
        </w:smartTagPr>
        <w:r>
          <w:t>1996 г</w:t>
        </w:r>
      </w:smartTag>
      <w:r>
        <w:t>. "О бухгалтерском учете" имеет номер 129-ФЗ, а не 129.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Согласно </w:t>
      </w:r>
      <w:hyperlink r:id="rId8" w:history="1">
        <w:r>
          <w:rPr>
            <w:rStyle w:val="a3"/>
            <w:color w:val="006AC3"/>
          </w:rPr>
          <w:t>ст. 6</w:t>
        </w:r>
      </w:hyperlink>
      <w:r>
        <w:t xml:space="preserve"> ФЗ от 21 ноября </w:t>
      </w:r>
      <w:smartTag w:uri="urn:schemas-microsoft-com:office:smarttags" w:element="metricconverter">
        <w:smartTagPr>
          <w:attr w:name="ProductID" w:val="1996 г"/>
        </w:smartTagPr>
        <w:r>
          <w:t>1996 г</w:t>
        </w:r>
      </w:smartTag>
      <w:r>
        <w:t xml:space="preserve">. N 129 "О бухгалтерском учете" за организацию бухгалтерского учета и соблюдение законодательства при выполнении хозяйственных операций (в том числе за их документальное оформление), своевременность </w:t>
      </w:r>
      <w:r>
        <w:lastRenderedPageBreak/>
        <w:t>предоставления первичных документов и бухгалтерской отчетности отвечает руководитель организации. В зависимости от объема учетной работы он может: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учредить бухгалтерскую службу;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структурное подразделение, возглавляемое главным бухгалтером;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ввести в штат должность бухгалтера;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передать ведение бухгалтерского учета централизованной бухгалтерии, специализированной организации или бухгалтеру, заключив с ними договор;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вести бухгалтерский учет лично.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Большинство руководителей образовательных учреждений поручает ведение бухгалтерского учета централизованной бухгалтерии, тем не менее, право самостоятельно вести свою финансово-хозяйственную деятельность за ним сохраняется и в этом случае.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Обязательны ли для образовательного учреждения дополнительные платные образовательные услуги?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Платные образовательные услуги являются необязательными не только для родителей, но и для образовательного учреждения. Следовательно, деньги на организацию этой деятельности в бюджете не предусмотрены. Однако происходящие в стране позитивные процессы: повышение информатизации общества, положительная динамика общего уровня интеллекта детей, расширение сети многопрофильных школ, гимназий, лицеев, возросший размер родительских притязаний, рост населения с высоким достатком - могут вызвать необходимость организации платных дополнительных услуг на базе государственных и муниципальных образовательных учреждений.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Нужна ли лицензия на право оказания платных образовательных услуг?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Порядок лицензирования образовательной деятельности установлен </w:t>
      </w:r>
      <w:hyperlink r:id="rId9" w:history="1">
        <w:r>
          <w:rPr>
            <w:rStyle w:val="a3"/>
            <w:color w:val="006AC3"/>
          </w:rPr>
          <w:t>Положением</w:t>
        </w:r>
      </w:hyperlink>
      <w:r>
        <w:t xml:space="preserve"> о лицензировании образовательной деятельности, утвержденным постановлением Правительства РФ от 18.10.2000 N 796. Государственные и муниципальные образовательные учреждения общего образования, имеющие лицензии на право ведения образовательной деятельности, могут осуществлять образовательную деятельность в виде оказания платных дополнительных услуг, не сопровождающихся итоговой аттестацией и выдачей документов об образовании и (или) квалификации, без получения дополнительных лицензий.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Таким образом, деятельность государственных и муниципальных образовательных учреждений, оказывающих платные дополнительные образовательные услуги, не сопровождающаяся итоговой аттестацией и выдачей документов об образовании и (или) квалификации, не подлежит лицензированию.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lastRenderedPageBreak/>
        <w:t>Консультант Плюс: примечание.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Текст абзаца приведен в соответствии с официальным текстом документа.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Если оказание платных образовательных услуг осуществляется общественным благотворительным фондом поддержки образовательного учреждения, имеющего юридическое лицо, наличие лицензии обязательно.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Какими законодательными актами регламентируется право образовательного учреждения оказывать дополнительные платные образовательные услуги?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Законодательная база в части оказания платных образовательных услуг на сегодняшний день разработана в достаточной степени.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Оказание платных услуг регулируется следующими законами РФ и инструктивно-директивными материалами вышестоящих организаций: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Конституцией РФ (ст. 43, </w:t>
      </w:r>
      <w:hyperlink r:id="rId10" w:history="1">
        <w:r>
          <w:rPr>
            <w:rStyle w:val="a3"/>
            <w:color w:val="006AC3"/>
          </w:rPr>
          <w:t>п. 5</w:t>
        </w:r>
      </w:hyperlink>
      <w:r>
        <w:t xml:space="preserve">), Гражданским </w:t>
      </w:r>
      <w:hyperlink r:id="rId11" w:history="1">
        <w:r>
          <w:rPr>
            <w:rStyle w:val="a3"/>
            <w:color w:val="006AC3"/>
          </w:rPr>
          <w:t>кодексом</w:t>
        </w:r>
      </w:hyperlink>
      <w:r>
        <w:t xml:space="preserve"> РФ, </w:t>
      </w:r>
      <w:hyperlink r:id="rId12" w:history="1">
        <w:r>
          <w:rPr>
            <w:rStyle w:val="a3"/>
            <w:color w:val="006AC3"/>
          </w:rPr>
          <w:t>Законом</w:t>
        </w:r>
      </w:hyperlink>
      <w:r>
        <w:t xml:space="preserve"> РФ "Об образовании", </w:t>
      </w:r>
      <w:hyperlink r:id="rId13" w:history="1">
        <w:r>
          <w:rPr>
            <w:rStyle w:val="a3"/>
            <w:color w:val="006AC3"/>
          </w:rPr>
          <w:t>Законом</w:t>
        </w:r>
      </w:hyperlink>
      <w:r>
        <w:t xml:space="preserve"> РФ "О защите прав потребителей", Законом РФ "Налоговый кодекс" (ст. 39, </w:t>
      </w:r>
      <w:hyperlink r:id="rId14" w:history="1">
        <w:r>
          <w:rPr>
            <w:rStyle w:val="a3"/>
            <w:color w:val="006AC3"/>
          </w:rPr>
          <w:t>ч. 1, п. 1</w:t>
        </w:r>
      </w:hyperlink>
      <w:r>
        <w:t xml:space="preserve">), </w:t>
      </w:r>
      <w:hyperlink r:id="rId15" w:history="1">
        <w:r>
          <w:rPr>
            <w:rStyle w:val="a3"/>
            <w:color w:val="006AC3"/>
          </w:rPr>
          <w:t>постановлением</w:t>
        </w:r>
      </w:hyperlink>
      <w:r>
        <w:t xml:space="preserve"> Правительства РФ от 5 июля </w:t>
      </w:r>
      <w:smartTag w:uri="urn:schemas-microsoft-com:office:smarttags" w:element="metricconverter">
        <w:smartTagPr>
          <w:attr w:name="ProductID" w:val="2001 г"/>
        </w:smartTagPr>
        <w:r>
          <w:t>2001 г</w:t>
        </w:r>
      </w:smartTag>
      <w:r>
        <w:t xml:space="preserve">. N 505 "Об утверждении правил оказания платных образовательных услуг", </w:t>
      </w:r>
      <w:hyperlink r:id="rId16" w:history="1">
        <w:r>
          <w:rPr>
            <w:rStyle w:val="a3"/>
            <w:color w:val="006AC3"/>
          </w:rPr>
          <w:t>приказом</w:t>
        </w:r>
      </w:hyperlink>
      <w:r>
        <w:t xml:space="preserve"> Министерства образования РФ от 10 июля </w:t>
      </w:r>
      <w:smartTag w:uri="urn:schemas-microsoft-com:office:smarttags" w:element="metricconverter">
        <w:smartTagPr>
          <w:attr w:name="ProductID" w:val="2003 г"/>
        </w:smartTagPr>
        <w:r>
          <w:t>2003 г</w:t>
        </w:r>
      </w:smartTag>
      <w:r>
        <w:t xml:space="preserve">. N 2994 "Об утверждении примерной формы договора на оказание платных образовательных услуг в сфере общего образования", </w:t>
      </w:r>
      <w:hyperlink r:id="rId17" w:history="1">
        <w:r>
          <w:rPr>
            <w:rStyle w:val="a3"/>
            <w:color w:val="006AC3"/>
          </w:rPr>
          <w:t>постановлением</w:t>
        </w:r>
      </w:hyperlink>
      <w:r>
        <w:t xml:space="preserve"> Кабинета Министров от 31 августа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 xml:space="preserve">. N 395 "О платных услугах и предпринимательской деятельности бюджетных учреждений и иных организаций, получающих ассигнования из бюджета РТ", приказом Министерства образования РТ от 13 января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 xml:space="preserve">. N 39 "О мерах по упорядочению практики оказания платных образовательных услуг в образовательных учреждениях РТ", письмом Министерства образования РТ от 11 мая </w:t>
      </w:r>
      <w:smartTag w:uri="urn:schemas-microsoft-com:office:smarttags" w:element="metricconverter">
        <w:smartTagPr>
          <w:attr w:name="ProductID" w:val="2004 г"/>
        </w:smartTagPr>
        <w:r>
          <w:t>2004 г</w:t>
        </w:r>
      </w:smartTag>
      <w:r>
        <w:t>. N 1093 "О методических рекомендациях по определению стоимости дополнительных платных образовательных услуг на основе норматива бюджетного финансирования" и др.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Какие виды платных образовательных услуг может осуществлять образовательное учреждение?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Образовательное учреждение вправе оказывать следующий перечень образовательных и развивающих услуг: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изучение специальных дисциплин сверх часов и сверх программ по данной дисциплине, предусмотренной учебным планом;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репетиторство с обучающимися другого образовательного учреждения;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различные курсы: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lastRenderedPageBreak/>
        <w:t>- по подготовке к поступлению в учебное заведение,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по изучению иностранных языков,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повышения квалификации,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по переподготовке кадров с освоением новых специальностей (в том числе вождение автомобиля, машинопись, стенография);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различные кружки: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по обучению игре на музыкальных инструментах, фотографированию, киновидеорадиолюбительскому делу, кройке и шитью, вязанию, домоводству, танцам и.т.д.;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создание различных студий, групп, школ, факультативов по обучению и приобщению детей к знанию мировой культуры, живописи, графики, скульптуры, народных промыслов и т.д., то есть всему тому, что направлено на всестороннее развитие гармоничной личности и не может быть дано в рамках государственных образовательных стандартов;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создание различных учебных групп и методов специального обучения детей с отклонениями в развитии;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создание групп по адаптации детей к условиям школьной жизни (до поступления в школу, если ребенок не посещал дошкольное образовательное учреждение);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создание различных секций, групп по укреплению здоровья (гимнастика, аэробика, ритмика, катание на коньках, лыжах, различные игры, общефизическая подготовка и т.д.).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Имеются ли ограничения при оказании дополнительных платных образовательных услуг?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Да, имеются. Услуги, оказываемые в рамках основных образовательных программ и государственных образовательных стандартов согласно статусу образовательного учреждения, направленные на совершенствование образовательного процесса при наличии имеющихся условий и средств (например: снижение наполняемости классов (групп); деление на подгруппы против установленных норм; сдача экзаменов в порядке экстерната, дополнительные занятия с неуспевающими и некоторые другие предусмотренные типовыми положениями об образовательных учреждениях), не рассматриваются как платные дополнительные образовательные услуги, и привлечение на эти цели средств родителей не допускается.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Кто контролирует осуществление дополнительных платных образовательных услуг?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Ответственность за организацию и качество платных образовательных услуг в образовательном учреждении несет руководитель. Управление или отдел образования несет ответственность за осуществление должного контроля над порядком </w:t>
      </w:r>
      <w:r>
        <w:lastRenderedPageBreak/>
        <w:t>предоставления и качеством платных образовательных услуг в ведомственных образовательных учреждениях.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В случае нарушения образовательным учреждением существующего законодательства: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руководитель образовательного учреждения может быть привлечен к дисциплинарной ответственности,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управление или отдел образования вправе приостановить или запретить оказание платных образовательных услуг,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изъять у образовательного учреждения полностью или частично доход от оказания платных образовательных услуг.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Кто устанавливает цены на дополнительные платные образовательные услуги?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Размер платы за оказание дополнительных образовательных услуг согласно </w:t>
      </w:r>
      <w:hyperlink r:id="rId18" w:history="1">
        <w:r>
          <w:rPr>
            <w:rStyle w:val="a3"/>
            <w:color w:val="006AC3"/>
          </w:rPr>
          <w:t>ст. 424</w:t>
        </w:r>
      </w:hyperlink>
      <w:r>
        <w:t xml:space="preserve"> Гражданского кодекса РФ устанавливается по соглашению сторон.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При этом должна учитывается себестоимость услуги, цены конкурентов на аналогичную услугу, уникальность видов услуг, спрос на данную услугу и др. Регулировать "сверху" цены невозможно, поскольку платные образовательные услуги не являются обязательным компонентом образования: материал, который учащиеся проходят на платных занятиях, не входит в программу образовательного учреждения, какой бы статус оно ни имело (гимназия, школа, лицей). Поэтому вопросы "Платить или не платить?", "Ходить или не ходить?" решают сами родители и их дети.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Каков порядок оформления, оплаты и учета платных образовательных услуг?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Предоставление платных образовательных услуг оформляется договором с потребителями, которым регламентируются условия и сроки их получения, порядок расчетов, права, обязанности и ответственность сторон, а также иные условия.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Сметы доходов и расходов на оказание каждого вида дополнительных платных образовательных услуг разрабатываются образовательным учреждением и согласуются с муниципальным органом управления образованием.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Сбор наличных денежных средств за оказание платных услуг не допускается.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Оплата предоставляемых платных услуг должна производиться через учреждения банков. Денежные средства, получаемые образовательным учреждением от оказания платных услуг, аккумулируются на внебюджетном счете.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Финансовые средства, полученные от оказания платных образовательных услуг, после уплаты налогов в соответствии с действующим законодательством направляются на расходы, связанные с уставной деятельностью образовательного учреждения, в том числе на оплату труда работников и начисления на заработную плату; на развитие учреждения, </w:t>
      </w:r>
      <w:r>
        <w:lastRenderedPageBreak/>
        <w:t>оплату работ по капитальному и текущему ремонту здания, приобретение мебели, учебных пособий и т.д.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Имеют ли право директор образовательного учреждения, классные руководители, а также представители родительского комитета или попечительского совета требовать деньги в фонд развития школы?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Никто не имеет права требовать у вас деньги ни в фонд развития школы, ни на ремонт крыши, ни на какие другие нужды. Решения родительского комитета или попечительского совета носят рекомендательный характер как для администрации школы, так и для других родителей. Просить оказания благотворительной помощи могут, но ни в коем случае не требовать.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Обратите внимание!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Непременным условием благотворительной деятельности является принцип добровольности, в противном случае данная деятельность по привлечению средств физических лиц (в данном случае родителей) не будет являться благотворительной.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Какими законодательными актами регламентируется оказание благотворительной помощи?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Оказание благотворительной помощи регламентируется следующими законодательными актами: </w:t>
      </w:r>
      <w:hyperlink r:id="rId19" w:history="1">
        <w:r>
          <w:rPr>
            <w:rStyle w:val="a3"/>
            <w:color w:val="006AC3"/>
          </w:rPr>
          <w:t>Законом</w:t>
        </w:r>
      </w:hyperlink>
      <w:r>
        <w:t xml:space="preserve"> РФ "Об образовании", Гражданским </w:t>
      </w:r>
      <w:hyperlink r:id="rId20" w:history="1">
        <w:r>
          <w:rPr>
            <w:rStyle w:val="a3"/>
            <w:color w:val="006AC3"/>
          </w:rPr>
          <w:t>кодексом</w:t>
        </w:r>
      </w:hyperlink>
      <w:r>
        <w:t xml:space="preserve"> РФ, Налоговым </w:t>
      </w:r>
      <w:hyperlink r:id="rId21" w:history="1">
        <w:r>
          <w:rPr>
            <w:rStyle w:val="a3"/>
            <w:color w:val="006AC3"/>
          </w:rPr>
          <w:t>кодексом</w:t>
        </w:r>
      </w:hyperlink>
      <w:r>
        <w:t xml:space="preserve"> РФ, Федеральным </w:t>
      </w:r>
      <w:hyperlink r:id="rId22" w:history="1">
        <w:r>
          <w:rPr>
            <w:rStyle w:val="a3"/>
            <w:color w:val="006AC3"/>
          </w:rPr>
          <w:t>законом</w:t>
        </w:r>
      </w:hyperlink>
      <w:r>
        <w:t xml:space="preserve"> от 11.08.1995 N 135-ФЗ "О благотворительной деятельности и благотворительных организациях", а также "Порядком ведения кассовых операций в Российской Федерации" (</w:t>
      </w:r>
      <w:hyperlink r:id="rId23" w:history="1">
        <w:r>
          <w:rPr>
            <w:rStyle w:val="a3"/>
            <w:color w:val="006AC3"/>
          </w:rPr>
          <w:t>письмо</w:t>
        </w:r>
      </w:hyperlink>
      <w:r>
        <w:t xml:space="preserve"> Центрального банка РФ от 04.10.1993 N 18), </w:t>
      </w:r>
      <w:hyperlink r:id="rId24" w:history="1">
        <w:r>
          <w:rPr>
            <w:rStyle w:val="a3"/>
            <w:color w:val="006AC3"/>
          </w:rPr>
          <w:t>Положением</w:t>
        </w:r>
      </w:hyperlink>
      <w:r>
        <w:t xml:space="preserve"> о правилах организации наличного денежного обращения на территории Российской Федерации (письмо Центрального банка РФ от 05.01.1998 N 14-П).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В каком виде может быть оказана благотворительная помощь? Как она оформляется и расходуется?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Благотворительная помощь (со стороны юридических и физических лиц) может оказываться в денежной форме (наличной и безналичной), а также в виде предоставления различных товаров, имущества, работ, услуг.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Благотворительная деятельность в форме передачи имущества, в том числе денежных средств может оформляться на основании двух видов гражданско-правовых договоров: дарения (</w:t>
      </w:r>
      <w:hyperlink r:id="rId25" w:history="1">
        <w:r>
          <w:rPr>
            <w:rStyle w:val="a3"/>
            <w:color w:val="006AC3"/>
          </w:rPr>
          <w:t>ст. 572</w:t>
        </w:r>
      </w:hyperlink>
      <w:r>
        <w:t xml:space="preserve"> ГК РФ) и пожертвования (</w:t>
      </w:r>
      <w:hyperlink r:id="rId26" w:history="1">
        <w:r>
          <w:rPr>
            <w:rStyle w:val="a3"/>
            <w:color w:val="006AC3"/>
          </w:rPr>
          <w:t>ст. 582</w:t>
        </w:r>
      </w:hyperlink>
      <w:r>
        <w:t xml:space="preserve"> ГК РФ).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На принятие пожертвования не требуется чьего-либо разрешения или согласия (</w:t>
      </w:r>
      <w:hyperlink r:id="rId27" w:history="1">
        <w:r>
          <w:rPr>
            <w:rStyle w:val="a3"/>
            <w:color w:val="006AC3"/>
          </w:rPr>
          <w:t>п. 2 ст. 582</w:t>
        </w:r>
      </w:hyperlink>
      <w:r>
        <w:t xml:space="preserve"> ГК РФ).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lastRenderedPageBreak/>
        <w:t>Все пожертвования, полученные в виде денежных средств, должны зачисляться на лицевые счета образовательных учреждений.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В частности, в качестве такой цели может выступать оплата охранных услуг, оказываемых образовательному учреждению специализированными организациями.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Требуется ли осуществление внебюджетной деятельности, привлечение дополнительных финансовых средств отражать в Уставе образовательного учреждения? Если да, то каким образом?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Деятельность образовательного учреждения, в том числе внебюджетную, определяет его Устав, поэтому в нем должны быть отражены следующие положения.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В разделе "Общие положения" необходимо указать, что образовательное учреждение 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 в порядке, установленном законодательством.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В разделе "Участники учебно-воспитательного процесса" следует отразить, что родители (лица, которые их заменяют) имеют право принимать участие в мероприятиях, направленных на улучшение организации учебно-воспитательного процесса, и оказывать финансовую помощь для укрепления учебно-материальной базы образовательного учреждения.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В разделе "Финансово-хозяйственная деятельность" необходимо указать, что источниками формирования имущества образовательного учреждения могут являться добровольные пожертвования юридических и физических лиц.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Добровольные пожертвования могут предоставляться юридическими и физическими лицами в наличной и безналичной форме, а также в виде товаров,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В последнее время во многих образовательных учреждениях создаются попечительские советы. Что это за орган, кто в него входит и какие задачи он призван решать?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В соответствии с </w:t>
      </w:r>
      <w:hyperlink r:id="rId28" w:history="1">
        <w:r>
          <w:rPr>
            <w:rStyle w:val="a3"/>
            <w:color w:val="006AC3"/>
          </w:rPr>
          <w:t>Законом</w:t>
        </w:r>
      </w:hyperlink>
      <w:r>
        <w:t xml:space="preserve"> РФ "Об образовании" управление государственными и муниципальными образовательными учреждениями строится на принципах единоначалия и самоуправления. Попечительский совет является одной из форм самоуправления образовательного учреждения. Порядок выборов и компетенция попечительского совета определяются Уставом образовательного учреждения (</w:t>
      </w:r>
      <w:hyperlink r:id="rId29" w:history="1">
        <w:r>
          <w:rPr>
            <w:rStyle w:val="a3"/>
            <w:color w:val="006AC3"/>
          </w:rPr>
          <w:t>ст. 35</w:t>
        </w:r>
      </w:hyperlink>
      <w:r>
        <w:t xml:space="preserve"> Закона).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lastRenderedPageBreak/>
        <w:t xml:space="preserve">Примерное </w:t>
      </w:r>
      <w:hyperlink r:id="rId30" w:history="1">
        <w:r>
          <w:rPr>
            <w:rStyle w:val="a3"/>
            <w:color w:val="006AC3"/>
          </w:rPr>
          <w:t>положение</w:t>
        </w:r>
      </w:hyperlink>
      <w:r>
        <w:t xml:space="preserve"> о попечительском совете общеобразовательного учреждения утверждено постановлением Правительства РФ от 10.12.1999 N 1379. В соответствии с </w:t>
      </w:r>
      <w:hyperlink r:id="rId31" w:history="1">
        <w:r>
          <w:rPr>
            <w:rStyle w:val="a3"/>
            <w:color w:val="006AC3"/>
          </w:rPr>
          <w:t>п. 2</w:t>
        </w:r>
      </w:hyperlink>
      <w:r>
        <w:t xml:space="preserve"> указанного Положения в его состав могут входить участники образовательного процесса и иные лица, заинтересованные в совершенствовании деятельности и развитии общеобразовательного учреждения. Кто конкретно из перечисленных участников образовательного процесса и на каких условиях войдет в состав попечительского совета, решает само образовательное учреждение.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Попечительский совет общеобразовательного учреждения содействует привлечению внебюджетных средств для обеспечения деятельности и развития учреждения, организации и улучшению условий труда работников, совершенствованию материально-технической базы учреждения, организации массовых внешкольных мероприятий, рассматривает другие вопросы, отнесенные к компетенции попечительского совета Уставом общеобразовательного учреждения (</w:t>
      </w:r>
      <w:hyperlink r:id="rId32" w:history="1">
        <w:r>
          <w:rPr>
            <w:rStyle w:val="a3"/>
            <w:color w:val="006AC3"/>
          </w:rPr>
          <w:t>п. 4</w:t>
        </w:r>
      </w:hyperlink>
      <w:r>
        <w:t xml:space="preserve"> Примерного положения).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 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- Что такое благотворительные или общественные фонды, которые создаются на базе ряда образовательных учреждений, как правило, городских?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 xml:space="preserve">- Фонды создаются в качестве юридического лица в соответствии с </w:t>
      </w:r>
      <w:hyperlink r:id="rId33" w:history="1">
        <w:r>
          <w:rPr>
            <w:rStyle w:val="a3"/>
            <w:color w:val="006AC3"/>
          </w:rPr>
          <w:t>ФЗ</w:t>
        </w:r>
      </w:hyperlink>
      <w:r>
        <w:t xml:space="preserve"> от 12.01.1996 "О некоммерческих организациях".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Фонд развития образовательных учреждений (далее - Фонд) является некоммерческой организацией, учрежденной гражданами и (или) юридическими лицами на основе добровольных имущественных взносов, преследующей образовательные, социальные, благотворительные и иные общественно-полезные цели. Фонд должен иметь самостоятельный баланс или смету, вправе в установленном порядке открывать счета в банке.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Фонд имеет своей целью централизацию внебюджетных средств, поступающих из различных источников, и их использование на развитие образовательных учреждений.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Действительно, в настоящее время многие образовательные учреждения, расположенные в крупных населенных пунктах, имеющих развитую инфраструктуру, создали эффективно работающие фонды.</w:t>
      </w:r>
    </w:p>
    <w:p w:rsidR="00E362FE" w:rsidRDefault="00E362FE" w:rsidP="00E362FE">
      <w:pPr>
        <w:pStyle w:val="a4"/>
        <w:spacing w:before="28" w:beforeAutospacing="0" w:after="238" w:line="301" w:lineRule="atLeast"/>
      </w:pPr>
      <w:r>
        <w:t>Однако в республике, особенно в сельской местности, действует немало малокомплектных и малочисленных школ, на специальные счета которых не поступают ни целевые финансовые средства, ни пожертвования юридических и физических лиц на развитие образования. Практика показывает, что при органах управления образованием сельских районов, небольших городов есть возможность организации фондов развития образования, в которые при благоприятной экономической ситуации могли бы инвестировать финансовые средства организации, предприятия и учреждения, расположенные на территории данного муниципального образования. При этом может быть учтена прозрачность целевого направления и использования данных финансовых взносов.</w:t>
      </w:r>
    </w:p>
    <w:p w:rsidR="00706AAC" w:rsidRDefault="00706AAC">
      <w:bookmarkStart w:id="0" w:name="_GoBack"/>
      <w:bookmarkEnd w:id="0"/>
    </w:p>
    <w:sectPr w:rsidR="0070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2FE"/>
    <w:rsid w:val="00006EE4"/>
    <w:rsid w:val="00130387"/>
    <w:rsid w:val="00265271"/>
    <w:rsid w:val="00334A33"/>
    <w:rsid w:val="004B1B19"/>
    <w:rsid w:val="00706AAC"/>
    <w:rsid w:val="0082002F"/>
    <w:rsid w:val="008828D4"/>
    <w:rsid w:val="00B17C59"/>
    <w:rsid w:val="00CD791F"/>
    <w:rsid w:val="00D057E8"/>
    <w:rsid w:val="00E362FE"/>
    <w:rsid w:val="00E44577"/>
    <w:rsid w:val="00FC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362FE"/>
    <w:rPr>
      <w:color w:val="000080"/>
      <w:u w:val="single"/>
    </w:rPr>
  </w:style>
  <w:style w:type="paragraph" w:styleId="a4">
    <w:name w:val="Normal (Web)"/>
    <w:basedOn w:val="a"/>
    <w:rsid w:val="00E362F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362FE"/>
    <w:rPr>
      <w:color w:val="000080"/>
      <w:u w:val="single"/>
    </w:rPr>
  </w:style>
  <w:style w:type="paragraph" w:styleId="a4">
    <w:name w:val="Normal (Web)"/>
    <w:basedOn w:val="a"/>
    <w:rsid w:val="00E362F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63747;fld=134;dst=100038" TargetMode="External"/><Relationship Id="rId13" Type="http://schemas.openxmlformats.org/officeDocument/2006/relationships/hyperlink" Target="consultantplus://offline/main?base=LAW;n=72079;fld=134" TargetMode="External"/><Relationship Id="rId18" Type="http://schemas.openxmlformats.org/officeDocument/2006/relationships/hyperlink" Target="consultantplus://offline/main?base=LAW;n=79569;fld=134;dst=102004" TargetMode="External"/><Relationship Id="rId26" Type="http://schemas.openxmlformats.org/officeDocument/2006/relationships/hyperlink" Target="consultantplus://offline/main?base=LAW;n=76503;fld=134;dst=100564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main?base=LAW;n=77924;fld=134" TargetMode="External"/><Relationship Id="rId34" Type="http://schemas.openxmlformats.org/officeDocument/2006/relationships/fontTable" Target="fontTable.xml"/><Relationship Id="rId7" Type="http://schemas.openxmlformats.org/officeDocument/2006/relationships/hyperlink" Target="consultantplus://offline/main?base=LAW;n=81109;fld=134;dst=100503" TargetMode="External"/><Relationship Id="rId12" Type="http://schemas.openxmlformats.org/officeDocument/2006/relationships/hyperlink" Target="consultantplus://offline/main?base=LAW;n=81109;fld=134" TargetMode="External"/><Relationship Id="rId17" Type="http://schemas.openxmlformats.org/officeDocument/2006/relationships/hyperlink" Target="consultantplus://offline/main?base=RLAW328;n=19932;fld=134" TargetMode="External"/><Relationship Id="rId25" Type="http://schemas.openxmlformats.org/officeDocument/2006/relationships/hyperlink" Target="consultantplus://offline/main?base=LAW;n=76503;fld=134;dst=100514" TargetMode="External"/><Relationship Id="rId33" Type="http://schemas.openxmlformats.org/officeDocument/2006/relationships/hyperlink" Target="consultantplus://offline/main?base=LAW;n=78686;fld=13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main?base=LAW;n=43837;fld=134" TargetMode="External"/><Relationship Id="rId20" Type="http://schemas.openxmlformats.org/officeDocument/2006/relationships/hyperlink" Target="consultantplus://offline/main?base=LAW;n=79569;fld=134" TargetMode="External"/><Relationship Id="rId29" Type="http://schemas.openxmlformats.org/officeDocument/2006/relationships/hyperlink" Target="consultantplus://offline/main?base=LAW;n=81109;fld=134;dst=100424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81109;fld=134;dst=430" TargetMode="External"/><Relationship Id="rId11" Type="http://schemas.openxmlformats.org/officeDocument/2006/relationships/hyperlink" Target="consultantplus://offline/main?base=LAW;n=79569;fld=134" TargetMode="External"/><Relationship Id="rId24" Type="http://schemas.openxmlformats.org/officeDocument/2006/relationships/hyperlink" Target="consultantplus://offline/main?base=LAW;n=39475;fld=134;dst=100004" TargetMode="External"/><Relationship Id="rId32" Type="http://schemas.openxmlformats.org/officeDocument/2006/relationships/hyperlink" Target="consultantplus://offline/main?base=LAW;n=25268;fld=134;dst=100016" TargetMode="External"/><Relationship Id="rId5" Type="http://schemas.openxmlformats.org/officeDocument/2006/relationships/hyperlink" Target="consultantplus://offline/main?base=LAW;n=81109;fld=134;dst=430" TargetMode="External"/><Relationship Id="rId15" Type="http://schemas.openxmlformats.org/officeDocument/2006/relationships/hyperlink" Target="consultantplus://offline/main?base=LAW;n=80070;fld=134" TargetMode="External"/><Relationship Id="rId23" Type="http://schemas.openxmlformats.org/officeDocument/2006/relationships/hyperlink" Target="consultantplus://offline/main?base=LAW;n=9963;fld=134;dst=100011" TargetMode="External"/><Relationship Id="rId28" Type="http://schemas.openxmlformats.org/officeDocument/2006/relationships/hyperlink" Target="consultantplus://offline/main?base=LAW;n=81109;fld=134" TargetMode="External"/><Relationship Id="rId10" Type="http://schemas.openxmlformats.org/officeDocument/2006/relationships/hyperlink" Target="consultantplus://offline/main?base=LAW;n=2875;fld=134;dst=100170" TargetMode="External"/><Relationship Id="rId19" Type="http://schemas.openxmlformats.org/officeDocument/2006/relationships/hyperlink" Target="consultantplus://offline/main?base=LAW;n=81109;fld=134" TargetMode="External"/><Relationship Id="rId31" Type="http://schemas.openxmlformats.org/officeDocument/2006/relationships/hyperlink" Target="consultantplus://offline/main?base=LAW;n=25268;fld=134;dst=1000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65800;fld=134;dst=100008" TargetMode="External"/><Relationship Id="rId14" Type="http://schemas.openxmlformats.org/officeDocument/2006/relationships/hyperlink" Target="consultantplus://offline/main?base=LAW;n=77924;fld=134;dst=100353" TargetMode="External"/><Relationship Id="rId22" Type="http://schemas.openxmlformats.org/officeDocument/2006/relationships/hyperlink" Target="consultantplus://offline/main?base=LAW;n=64969;fld=134" TargetMode="External"/><Relationship Id="rId27" Type="http://schemas.openxmlformats.org/officeDocument/2006/relationships/hyperlink" Target="consultantplus://offline/main?base=LAW;n=76503;fld=134;dst=100567" TargetMode="External"/><Relationship Id="rId30" Type="http://schemas.openxmlformats.org/officeDocument/2006/relationships/hyperlink" Target="consultantplus://offline/main?base=LAW;n=25268;fld=134;dst=100008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3100</Words>
  <Characters>17672</Characters>
  <Application>Microsoft Office Word</Application>
  <DocSecurity>0</DocSecurity>
  <Lines>147</Lines>
  <Paragraphs>41</Paragraphs>
  <ScaleCrop>false</ScaleCrop>
  <Company/>
  <LinksUpToDate>false</LinksUpToDate>
  <CharactersWithSpaces>20731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№ 9</dc:creator>
  <cp:lastModifiedBy>МДОУ № 9</cp:lastModifiedBy>
  <cp:revision>1</cp:revision>
  <dcterms:created xsi:type="dcterms:W3CDTF">2012-11-13T10:44:00Z</dcterms:created>
  <dcterms:modified xsi:type="dcterms:W3CDTF">2012-11-13T10:44:00Z</dcterms:modified>
</cp:coreProperties>
</file>